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BC" w:rsidRDefault="008662EB" w:rsidP="008662EB">
      <w:pPr>
        <w:spacing w:line="256" w:lineRule="auto"/>
        <w:jc w:val="right"/>
        <w:rPr>
          <w:rFonts w:ascii="Calibri" w:eastAsia="Calibri" w:hAnsi="Calibri" w:cs="Times New Roman"/>
          <w:i/>
          <w:iCs/>
          <w:sz w:val="24"/>
          <w:szCs w:val="24"/>
          <w:lang w:val="es-PA"/>
        </w:rPr>
      </w:pPr>
      <w:r w:rsidRPr="008662EB">
        <w:rPr>
          <w:rFonts w:ascii="Calibri" w:eastAsia="Calibri" w:hAnsi="Calibri" w:cs="Times New Roman"/>
          <w:noProof/>
          <w:lang w:val="es-PA" w:eastAsia="es-PA"/>
        </w:rPr>
        <w:drawing>
          <wp:anchor distT="0" distB="0" distL="114300" distR="114300" simplePos="0" relativeHeight="251659264" behindDoc="1" locked="0" layoutInCell="1" allowOverlap="1" wp14:anchorId="0E079037" wp14:editId="0D865280">
            <wp:simplePos x="0" y="0"/>
            <wp:positionH relativeFrom="column">
              <wp:posOffset>-699135</wp:posOffset>
            </wp:positionH>
            <wp:positionV relativeFrom="paragraph">
              <wp:posOffset>-756920</wp:posOffset>
            </wp:positionV>
            <wp:extent cx="4048125" cy="933450"/>
            <wp:effectExtent l="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0495040"/>
    </w:p>
    <w:bookmarkEnd w:id="0"/>
    <w:p w:rsidR="000E5B24" w:rsidRDefault="000E5B24" w:rsidP="000E5B2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Dirección Regional de Trabajo de Coclé</w:t>
      </w:r>
    </w:p>
    <w:p w:rsidR="000E5B24" w:rsidRDefault="000E5B24" w:rsidP="000E5B24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</w:p>
    <w:p w:rsidR="000E5B24" w:rsidRDefault="000E5B24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Dentro de las </w:t>
      </w:r>
      <w:r w:rsidR="001B5ABF">
        <w:rPr>
          <w:rFonts w:ascii="Arial" w:hAnsi="Arial" w:cs="Arial"/>
          <w:sz w:val="28"/>
          <w:szCs w:val="28"/>
        </w:rPr>
        <w:t>gestiones</w:t>
      </w:r>
      <w:r>
        <w:rPr>
          <w:rFonts w:ascii="Arial" w:hAnsi="Arial" w:cs="Arial"/>
          <w:sz w:val="28"/>
          <w:szCs w:val="28"/>
        </w:rPr>
        <w:t xml:space="preserve"> ejecutadas por la Dirección Regional de</w:t>
      </w:r>
      <w:r w:rsidR="00330EA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Ministerio de Trabajo</w:t>
      </w:r>
      <w:r w:rsidR="00491C1E">
        <w:rPr>
          <w:rFonts w:ascii="Arial" w:hAnsi="Arial" w:cs="Arial"/>
          <w:sz w:val="28"/>
          <w:szCs w:val="28"/>
        </w:rPr>
        <w:t xml:space="preserve"> y Desarrollo Laboral (MITRADEL)</w:t>
      </w:r>
      <w:r w:rsidR="00330EA0">
        <w:rPr>
          <w:rFonts w:ascii="Arial" w:hAnsi="Arial" w:cs="Arial"/>
          <w:sz w:val="28"/>
          <w:szCs w:val="28"/>
        </w:rPr>
        <w:t xml:space="preserve"> en la p</w:t>
      </w:r>
      <w:r>
        <w:rPr>
          <w:rFonts w:ascii="Arial" w:hAnsi="Arial" w:cs="Arial"/>
          <w:sz w:val="28"/>
          <w:szCs w:val="28"/>
        </w:rPr>
        <w:t>rovincia de Coclé</w:t>
      </w:r>
      <w:r w:rsidR="00DC0E67">
        <w:rPr>
          <w:rFonts w:ascii="Arial" w:hAnsi="Arial" w:cs="Arial"/>
          <w:sz w:val="28"/>
          <w:szCs w:val="28"/>
        </w:rPr>
        <w:t>,</w:t>
      </w:r>
      <w:r w:rsidR="00EF4C03">
        <w:rPr>
          <w:rFonts w:ascii="Arial" w:hAnsi="Arial" w:cs="Arial"/>
          <w:sz w:val="28"/>
          <w:szCs w:val="28"/>
        </w:rPr>
        <w:t xml:space="preserve"> durante el </w:t>
      </w:r>
      <w:r w:rsidR="00F27CC3">
        <w:rPr>
          <w:rFonts w:ascii="Arial" w:hAnsi="Arial" w:cs="Arial"/>
          <w:sz w:val="28"/>
          <w:szCs w:val="28"/>
        </w:rPr>
        <w:t>período</w:t>
      </w:r>
      <w:r w:rsidR="00EF4C03">
        <w:rPr>
          <w:rFonts w:ascii="Arial" w:hAnsi="Arial" w:cs="Arial"/>
          <w:sz w:val="28"/>
          <w:szCs w:val="28"/>
        </w:rPr>
        <w:t xml:space="preserve"> </w:t>
      </w:r>
      <w:r w:rsidR="00F27CC3">
        <w:rPr>
          <w:rFonts w:ascii="Arial" w:hAnsi="Arial" w:cs="Arial"/>
          <w:sz w:val="28"/>
          <w:szCs w:val="28"/>
        </w:rPr>
        <w:t xml:space="preserve">comprendido entre el </w:t>
      </w:r>
      <w:r w:rsidR="00F27CC3" w:rsidRPr="00F27CC3">
        <w:rPr>
          <w:rFonts w:ascii="Arial" w:hAnsi="Arial" w:cs="Arial"/>
          <w:sz w:val="28"/>
          <w:szCs w:val="28"/>
          <w:shd w:val="clear" w:color="auto" w:fill="FFFFFF"/>
        </w:rPr>
        <w:t>01 de noviembre de 2020 al 31 de octubre de 2021</w:t>
      </w:r>
      <w:r w:rsidR="00F27CC3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destacan </w:t>
      </w:r>
      <w:r w:rsidR="001B5ABF">
        <w:rPr>
          <w:rFonts w:ascii="Arial" w:hAnsi="Arial" w:cs="Arial"/>
          <w:sz w:val="28"/>
          <w:szCs w:val="28"/>
        </w:rPr>
        <w:t>las</w:t>
      </w:r>
      <w:r w:rsidR="00764445">
        <w:rPr>
          <w:rFonts w:ascii="Arial" w:hAnsi="Arial" w:cs="Arial"/>
          <w:sz w:val="28"/>
          <w:szCs w:val="28"/>
        </w:rPr>
        <w:t xml:space="preserve"> </w:t>
      </w:r>
      <w:r w:rsidR="001B5ABF">
        <w:rPr>
          <w:rFonts w:ascii="Arial" w:hAnsi="Arial" w:cs="Arial"/>
          <w:sz w:val="28"/>
          <w:szCs w:val="28"/>
        </w:rPr>
        <w:t>múltiples</w:t>
      </w:r>
      <w:r w:rsidR="00FB25F9">
        <w:rPr>
          <w:rFonts w:ascii="Arial" w:hAnsi="Arial" w:cs="Arial"/>
          <w:sz w:val="28"/>
          <w:szCs w:val="28"/>
        </w:rPr>
        <w:t xml:space="preserve"> acciones </w:t>
      </w:r>
      <w:r w:rsidR="00C33B91">
        <w:rPr>
          <w:rFonts w:ascii="Arial" w:hAnsi="Arial" w:cs="Arial"/>
          <w:sz w:val="28"/>
          <w:szCs w:val="28"/>
        </w:rPr>
        <w:t xml:space="preserve">en aras de garantizar </w:t>
      </w:r>
      <w:r w:rsidR="00FB25F9">
        <w:rPr>
          <w:rFonts w:ascii="Arial" w:hAnsi="Arial" w:cs="Arial"/>
          <w:sz w:val="28"/>
          <w:szCs w:val="28"/>
        </w:rPr>
        <w:t xml:space="preserve">la paz social entre </w:t>
      </w:r>
      <w:r w:rsidR="00C33B91">
        <w:rPr>
          <w:rFonts w:ascii="Arial" w:hAnsi="Arial" w:cs="Arial"/>
          <w:sz w:val="28"/>
          <w:szCs w:val="28"/>
        </w:rPr>
        <w:t>empleadores y trabajadores</w:t>
      </w:r>
      <w:r w:rsidR="00FB25F9">
        <w:rPr>
          <w:rFonts w:ascii="Arial" w:hAnsi="Arial" w:cs="Arial"/>
          <w:sz w:val="28"/>
          <w:szCs w:val="28"/>
        </w:rPr>
        <w:t>.</w:t>
      </w:r>
    </w:p>
    <w:p w:rsidR="000E5B24" w:rsidRDefault="000E5B24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33B91" w:rsidRDefault="00764445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través del Departamento de Inspección</w:t>
      </w:r>
      <w:r w:rsidR="001B5ABF">
        <w:rPr>
          <w:rFonts w:ascii="Arial" w:hAnsi="Arial" w:cs="Arial"/>
          <w:sz w:val="28"/>
          <w:szCs w:val="28"/>
        </w:rPr>
        <w:t xml:space="preserve"> se efectuaron c</w:t>
      </w:r>
      <w:r w:rsidR="00C33B91">
        <w:rPr>
          <w:rFonts w:ascii="Arial" w:hAnsi="Arial" w:cs="Arial"/>
          <w:sz w:val="28"/>
          <w:szCs w:val="28"/>
        </w:rPr>
        <w:t>onstantes verificaciones de las medidas de bioseguridad implementadas por motivo de la COVID-19</w:t>
      </w:r>
      <w:r w:rsidR="00491C1E">
        <w:rPr>
          <w:rFonts w:ascii="Arial" w:hAnsi="Arial" w:cs="Arial"/>
          <w:sz w:val="28"/>
          <w:szCs w:val="28"/>
        </w:rPr>
        <w:t>,</w:t>
      </w:r>
      <w:r w:rsidR="00C33B91">
        <w:rPr>
          <w:rFonts w:ascii="Arial" w:hAnsi="Arial" w:cs="Arial"/>
          <w:sz w:val="28"/>
          <w:szCs w:val="28"/>
        </w:rPr>
        <w:t xml:space="preserve"> </w:t>
      </w:r>
      <w:r w:rsidR="001B5ABF">
        <w:rPr>
          <w:rFonts w:ascii="Arial" w:hAnsi="Arial" w:cs="Arial"/>
          <w:sz w:val="28"/>
          <w:szCs w:val="28"/>
        </w:rPr>
        <w:t>así como</w:t>
      </w:r>
      <w:r w:rsidR="00C33B91">
        <w:rPr>
          <w:rFonts w:ascii="Arial" w:hAnsi="Arial" w:cs="Arial"/>
          <w:sz w:val="28"/>
          <w:szCs w:val="28"/>
        </w:rPr>
        <w:t xml:space="preserve"> operativos de</w:t>
      </w:r>
      <w:r w:rsidR="00B937A1">
        <w:rPr>
          <w:rFonts w:ascii="Arial" w:hAnsi="Arial" w:cs="Arial"/>
          <w:sz w:val="28"/>
          <w:szCs w:val="28"/>
        </w:rPr>
        <w:t xml:space="preserve"> migración laboral, seguridad, laboral y menor trabajador</w:t>
      </w:r>
      <w:r w:rsidR="006477BF">
        <w:rPr>
          <w:rFonts w:ascii="Arial" w:hAnsi="Arial" w:cs="Arial"/>
          <w:sz w:val="28"/>
          <w:szCs w:val="28"/>
        </w:rPr>
        <w:t>,</w:t>
      </w:r>
      <w:r w:rsidR="00C33B91">
        <w:rPr>
          <w:rFonts w:ascii="Arial" w:hAnsi="Arial" w:cs="Arial"/>
          <w:sz w:val="28"/>
          <w:szCs w:val="28"/>
        </w:rPr>
        <w:t xml:space="preserve"> </w:t>
      </w:r>
      <w:r w:rsidR="001B5ABF">
        <w:rPr>
          <w:rFonts w:ascii="Arial" w:hAnsi="Arial" w:cs="Arial"/>
          <w:sz w:val="28"/>
          <w:szCs w:val="28"/>
        </w:rPr>
        <w:t>desarrollados</w:t>
      </w:r>
      <w:r w:rsidR="00C33B91">
        <w:rPr>
          <w:rFonts w:ascii="Arial" w:hAnsi="Arial" w:cs="Arial"/>
          <w:sz w:val="28"/>
          <w:szCs w:val="28"/>
        </w:rPr>
        <w:t xml:space="preserve"> en las diferentes actividades económicas a lo largo y ancho de la provincia.</w:t>
      </w:r>
    </w:p>
    <w:p w:rsidR="00B937A1" w:rsidRDefault="00B937A1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B937A1" w:rsidRDefault="00B937A1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Oficiales de Seguridad</w:t>
      </w:r>
      <w:r w:rsidR="006477BF">
        <w:rPr>
          <w:rFonts w:ascii="Arial" w:hAnsi="Arial" w:cs="Arial"/>
          <w:sz w:val="28"/>
          <w:szCs w:val="28"/>
        </w:rPr>
        <w:t xml:space="preserve"> de la Dirección Regional,</w:t>
      </w:r>
      <w:r w:rsidR="00330EA0">
        <w:rPr>
          <w:rFonts w:ascii="Arial" w:hAnsi="Arial" w:cs="Arial"/>
          <w:sz w:val="28"/>
          <w:szCs w:val="28"/>
        </w:rPr>
        <w:t xml:space="preserve"> se encargaron</w:t>
      </w:r>
      <w:r>
        <w:rPr>
          <w:rFonts w:ascii="Arial" w:hAnsi="Arial" w:cs="Arial"/>
          <w:sz w:val="28"/>
          <w:szCs w:val="28"/>
        </w:rPr>
        <w:t xml:space="preserve"> de la revisión de los Protocolos de Bioseguridad para las reaperturas económicas y de la verificación del cumplimiento de las medidas de higiene y bioseguridad en los proyectos de construcción asignados a cada uno de ellos (as). </w:t>
      </w:r>
    </w:p>
    <w:p w:rsidR="00C33B91" w:rsidRDefault="00C33B91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C33B91" w:rsidRDefault="001153F7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del d</w:t>
      </w:r>
      <w:r w:rsidR="00330EA0">
        <w:rPr>
          <w:rFonts w:ascii="Arial" w:hAnsi="Arial" w:cs="Arial"/>
          <w:sz w:val="28"/>
          <w:szCs w:val="28"/>
        </w:rPr>
        <w:t>epartamento de Empleo</w:t>
      </w:r>
      <w:r w:rsidR="001B5ABF">
        <w:rPr>
          <w:rFonts w:ascii="Arial" w:hAnsi="Arial" w:cs="Arial"/>
          <w:sz w:val="28"/>
          <w:szCs w:val="28"/>
        </w:rPr>
        <w:t xml:space="preserve"> se realizaron inserciones laborales d</w:t>
      </w:r>
      <w:r>
        <w:rPr>
          <w:rFonts w:ascii="Arial" w:hAnsi="Arial" w:cs="Arial"/>
          <w:sz w:val="28"/>
          <w:szCs w:val="28"/>
        </w:rPr>
        <w:t>e personas con discapacidad y</w:t>
      </w:r>
      <w:r w:rsidR="001B5ABF">
        <w:rPr>
          <w:rFonts w:ascii="Arial" w:hAnsi="Arial" w:cs="Arial"/>
          <w:sz w:val="28"/>
          <w:szCs w:val="28"/>
        </w:rPr>
        <w:t xml:space="preserve"> buscadores de empleo que acudieron a </w:t>
      </w:r>
      <w:r w:rsidR="00EF03DC">
        <w:rPr>
          <w:rFonts w:ascii="Arial" w:hAnsi="Arial" w:cs="Arial"/>
          <w:sz w:val="28"/>
          <w:szCs w:val="28"/>
        </w:rPr>
        <w:t>esta</w:t>
      </w:r>
      <w:r w:rsidR="001B5ABF">
        <w:rPr>
          <w:rFonts w:ascii="Arial" w:hAnsi="Arial" w:cs="Arial"/>
          <w:sz w:val="28"/>
          <w:szCs w:val="28"/>
        </w:rPr>
        <w:t xml:space="preserve"> dependencia para aplicar a las vacantes ofertadas por las empresas del sector privado.</w:t>
      </w:r>
      <w:r w:rsidR="003858DB">
        <w:rPr>
          <w:rFonts w:ascii="Arial" w:hAnsi="Arial" w:cs="Arial"/>
          <w:sz w:val="28"/>
          <w:szCs w:val="28"/>
        </w:rPr>
        <w:t xml:space="preserve"> </w:t>
      </w:r>
      <w:r w:rsidR="00664F00">
        <w:rPr>
          <w:rFonts w:ascii="Arial" w:hAnsi="Arial" w:cs="Arial"/>
          <w:sz w:val="28"/>
          <w:szCs w:val="28"/>
        </w:rPr>
        <w:t>A su vez</w:t>
      </w:r>
      <w:r w:rsidR="00330EA0">
        <w:rPr>
          <w:rFonts w:ascii="Arial" w:hAnsi="Arial" w:cs="Arial"/>
          <w:sz w:val="28"/>
          <w:szCs w:val="28"/>
        </w:rPr>
        <w:t>,</w:t>
      </w:r>
      <w:r w:rsidR="00664F00">
        <w:rPr>
          <w:rFonts w:ascii="Arial" w:hAnsi="Arial" w:cs="Arial"/>
          <w:sz w:val="28"/>
          <w:szCs w:val="28"/>
        </w:rPr>
        <w:t xml:space="preserve"> se realizaron capacitaciones virtuales mediante los Programas Orienta Panamá y </w:t>
      </w:r>
      <w:r>
        <w:rPr>
          <w:rFonts w:ascii="Arial" w:hAnsi="Arial" w:cs="Arial"/>
          <w:sz w:val="28"/>
          <w:szCs w:val="28"/>
        </w:rPr>
        <w:t xml:space="preserve">el Proyecto </w:t>
      </w:r>
      <w:r w:rsidR="00664F00">
        <w:rPr>
          <w:rFonts w:ascii="Arial" w:hAnsi="Arial" w:cs="Arial"/>
          <w:sz w:val="28"/>
          <w:szCs w:val="28"/>
        </w:rPr>
        <w:t>Aprender Haciendo.</w:t>
      </w:r>
    </w:p>
    <w:p w:rsidR="001153F7" w:rsidRDefault="001153F7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0E5B24" w:rsidRDefault="001153F7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 w:rsidRPr="006269C7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 xml:space="preserve"> creó la e</w:t>
      </w:r>
      <w:r w:rsidR="003A0C46" w:rsidRPr="006269C7">
        <w:rPr>
          <w:rFonts w:ascii="Arial" w:hAnsi="Arial" w:cs="Arial"/>
          <w:sz w:val="28"/>
          <w:szCs w:val="28"/>
        </w:rPr>
        <w:t xml:space="preserve">xtensión de la Regional de Trabajo, ubicada dentro de la Casa de Gobierno </w:t>
      </w:r>
      <w:r>
        <w:rPr>
          <w:rFonts w:ascii="Arial" w:hAnsi="Arial" w:cs="Arial"/>
          <w:sz w:val="28"/>
          <w:szCs w:val="28"/>
        </w:rPr>
        <w:t xml:space="preserve">para </w:t>
      </w:r>
      <w:r w:rsidR="003A0C46" w:rsidRPr="006269C7">
        <w:rPr>
          <w:rFonts w:ascii="Arial" w:hAnsi="Arial" w:cs="Arial"/>
          <w:sz w:val="28"/>
          <w:szCs w:val="28"/>
        </w:rPr>
        <w:t>brindar los servicios de orientación laboral, inspección, contratos y conciliación a todos los trabajadores y emplea</w:t>
      </w:r>
      <w:r w:rsidR="00330EA0">
        <w:rPr>
          <w:rFonts w:ascii="Arial" w:hAnsi="Arial" w:cs="Arial"/>
          <w:sz w:val="28"/>
          <w:szCs w:val="28"/>
        </w:rPr>
        <w:t>dores de áreas distantes de la p</w:t>
      </w:r>
      <w:r w:rsidR="003A0C46" w:rsidRPr="006269C7">
        <w:rPr>
          <w:rFonts w:ascii="Arial" w:hAnsi="Arial" w:cs="Arial"/>
          <w:sz w:val="28"/>
          <w:szCs w:val="28"/>
        </w:rPr>
        <w:t>rov</w:t>
      </w:r>
      <w:r>
        <w:rPr>
          <w:rFonts w:ascii="Arial" w:hAnsi="Arial" w:cs="Arial"/>
          <w:sz w:val="28"/>
          <w:szCs w:val="28"/>
        </w:rPr>
        <w:t>incia.</w:t>
      </w:r>
    </w:p>
    <w:p w:rsidR="00C90B99" w:rsidRDefault="00C90B99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6477BF" w:rsidRDefault="00C90B99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M</w:t>
      </w:r>
      <w:r w:rsidR="00EF03DC">
        <w:rPr>
          <w:rFonts w:ascii="Arial" w:hAnsi="Arial" w:cs="Arial"/>
          <w:sz w:val="28"/>
          <w:szCs w:val="28"/>
        </w:rPr>
        <w:t xml:space="preserve">ediante el Eje “Cambiando Vidas” </w:t>
      </w:r>
      <w:r>
        <w:rPr>
          <w:rFonts w:ascii="Arial" w:hAnsi="Arial" w:cs="Arial"/>
          <w:sz w:val="28"/>
          <w:szCs w:val="28"/>
        </w:rPr>
        <w:t xml:space="preserve">que coordina la Oficina de Género y Trabajo se conformó </w:t>
      </w:r>
      <w:r w:rsidR="00EF03DC">
        <w:rPr>
          <w:rFonts w:ascii="Arial" w:hAnsi="Arial" w:cs="Arial"/>
          <w:sz w:val="28"/>
          <w:szCs w:val="28"/>
        </w:rPr>
        <w:t xml:space="preserve">la </w:t>
      </w:r>
      <w:r w:rsidR="00EF03DC">
        <w:rPr>
          <w:rFonts w:ascii="Hind" w:hAnsi="Hind"/>
          <w:color w:val="7A7A7A"/>
          <w:shd w:val="clear" w:color="auto" w:fill="FFFFFF"/>
        </w:rPr>
        <w:t> </w:t>
      </w:r>
      <w:r w:rsidR="00EF03DC" w:rsidRPr="00EF03DC">
        <w:rPr>
          <w:rFonts w:ascii="Arial" w:hAnsi="Arial" w:cs="Arial"/>
          <w:sz w:val="28"/>
          <w:szCs w:val="28"/>
          <w:shd w:val="clear" w:color="auto" w:fill="FFFFFF"/>
        </w:rPr>
        <w:t>Cooperativa de Servicios Múltipl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es Ventorrillo R.L (COOSMUVE) donde un grupo de 45 mujeres está </w:t>
      </w:r>
      <w:r w:rsidR="00EF03DC" w:rsidRPr="00EF03DC">
        <w:rPr>
          <w:rFonts w:ascii="Arial" w:hAnsi="Arial" w:cs="Arial"/>
          <w:sz w:val="28"/>
          <w:szCs w:val="28"/>
          <w:shd w:val="clear" w:color="auto" w:fill="FFFFFF"/>
        </w:rPr>
        <w:t xml:space="preserve">en espera de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recibir </w:t>
      </w:r>
      <w:bookmarkStart w:id="1" w:name="_GoBack"/>
      <w:bookmarkEnd w:id="1"/>
      <w:r>
        <w:rPr>
          <w:rFonts w:ascii="Arial" w:hAnsi="Arial" w:cs="Arial"/>
          <w:sz w:val="28"/>
          <w:szCs w:val="28"/>
          <w:shd w:val="clear" w:color="auto" w:fill="FFFFFF"/>
        </w:rPr>
        <w:t>la Personería Jurídica.</w:t>
      </w:r>
    </w:p>
    <w:p w:rsidR="00C90B99" w:rsidRDefault="00C90B99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91C1E" w:rsidRDefault="00330EA0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En este mismo período se</w:t>
      </w:r>
      <w:r w:rsidR="00491C1E">
        <w:rPr>
          <w:rFonts w:ascii="Arial" w:hAnsi="Arial" w:cs="Arial"/>
          <w:sz w:val="28"/>
          <w:szCs w:val="28"/>
          <w:shd w:val="clear" w:color="auto" w:fill="FFFFFF"/>
        </w:rPr>
        <w:t xml:space="preserve"> efectuaron orientaciones laborales presenciales, conciliaciones y ne</w:t>
      </w:r>
      <w:r>
        <w:rPr>
          <w:rFonts w:ascii="Arial" w:hAnsi="Arial" w:cs="Arial"/>
          <w:sz w:val="28"/>
          <w:szCs w:val="28"/>
          <w:shd w:val="clear" w:color="auto" w:fill="FFFFFF"/>
        </w:rPr>
        <w:t>gociaciones de pliegos</w:t>
      </w:r>
      <w:r w:rsidR="00491C1E">
        <w:rPr>
          <w:rFonts w:ascii="Arial" w:hAnsi="Arial" w:cs="Arial"/>
          <w:sz w:val="28"/>
          <w:szCs w:val="28"/>
          <w:shd w:val="clear" w:color="auto" w:fill="FFFFFF"/>
        </w:rPr>
        <w:t xml:space="preserve"> bajo el cumplimiento de los estrictos </w:t>
      </w:r>
      <w:r w:rsidR="00491C1E">
        <w:rPr>
          <w:rFonts w:ascii="Arial" w:hAnsi="Arial" w:cs="Arial"/>
          <w:sz w:val="28"/>
          <w:szCs w:val="28"/>
        </w:rPr>
        <w:t>protocolos de higiene sugeridos por las entidades sanitarias para evitar contagios de la COVID-19.</w:t>
      </w:r>
    </w:p>
    <w:p w:rsidR="00491C1E" w:rsidRDefault="00491C1E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491C1E" w:rsidRDefault="00491C1E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Por medio de la Defensoría Gratuita se logró recuperar dinero</w:t>
      </w:r>
      <w:r w:rsidR="00DC0E67">
        <w:rPr>
          <w:rFonts w:ascii="Arial" w:hAnsi="Arial" w:cs="Arial"/>
          <w:sz w:val="28"/>
          <w:szCs w:val="28"/>
          <w:shd w:val="clear" w:color="auto" w:fill="FFFFFF"/>
        </w:rPr>
        <w:t xml:space="preserve"> en concepto de cancelación de prestaciones laborales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en beneficio de los trabajadores que optaron por este servicio legal que proporciona el MITRADEL</w:t>
      </w:r>
      <w:r w:rsidR="00DC0E67">
        <w:rPr>
          <w:rFonts w:ascii="Arial" w:hAnsi="Arial" w:cs="Arial"/>
          <w:sz w:val="28"/>
          <w:szCs w:val="28"/>
          <w:shd w:val="clear" w:color="auto" w:fill="FFFFFF"/>
        </w:rPr>
        <w:t xml:space="preserve"> a todos aquellos </w:t>
      </w:r>
      <w:r w:rsidR="004A1E99">
        <w:rPr>
          <w:rFonts w:ascii="Arial" w:hAnsi="Arial" w:cs="Arial"/>
          <w:sz w:val="28"/>
          <w:szCs w:val="28"/>
          <w:shd w:val="clear" w:color="auto" w:fill="FFFFFF"/>
        </w:rPr>
        <w:t xml:space="preserve">trabajadores </w:t>
      </w:r>
      <w:r w:rsidR="00330EA0">
        <w:rPr>
          <w:rFonts w:ascii="Arial" w:hAnsi="Arial" w:cs="Arial"/>
          <w:sz w:val="28"/>
          <w:szCs w:val="28"/>
          <w:shd w:val="clear" w:color="auto" w:fill="FFFFFF"/>
        </w:rPr>
        <w:t>que no cuenten con un a</w:t>
      </w:r>
      <w:r w:rsidR="00DC0E67">
        <w:rPr>
          <w:rFonts w:ascii="Arial" w:hAnsi="Arial" w:cs="Arial"/>
          <w:sz w:val="28"/>
          <w:szCs w:val="28"/>
          <w:shd w:val="clear" w:color="auto" w:fill="FFFFFF"/>
        </w:rPr>
        <w:t>bogado para tales trámites.</w:t>
      </w:r>
    </w:p>
    <w:p w:rsidR="00985E0A" w:rsidRDefault="00985E0A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30EA0" w:rsidRDefault="00DC0E67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Se entregaron becas conjuntamente con el Instituto para la Formación y Aprovechamiento de Recursos Humanos (IFARHU) a los niños, niñas y adolescentes beneficiarios del Programa de Acción Directa Gubernamental Contra el Trabajo Infantil en diferentes centros educativos de la provincia.</w:t>
      </w:r>
      <w:r w:rsidR="00985E0A" w:rsidRPr="00985E0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330EA0" w:rsidRDefault="00330EA0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985E0A" w:rsidRDefault="00985E0A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Como parte de la iniciativa Municipios Libres de Trabajo Infantil, se firmó un acuerdo de cooperación con la Alcaldía de Aguadulce cuyo objetivo es redoblar esfuerzos con los gobiernos lo</w:t>
      </w:r>
      <w:r w:rsidR="001153F7">
        <w:rPr>
          <w:rFonts w:ascii="Arial" w:hAnsi="Arial" w:cs="Arial"/>
          <w:sz w:val="28"/>
          <w:szCs w:val="28"/>
          <w:shd w:val="clear" w:color="auto" w:fill="FFFFFF"/>
        </w:rPr>
        <w:t>cales en la lucha contra este flagelo.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153F7" w:rsidRDefault="001153F7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985E0A" w:rsidRPr="004A1E99" w:rsidRDefault="00330EA0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La p</w:t>
      </w:r>
      <w:r w:rsidR="00985E0A">
        <w:rPr>
          <w:rFonts w:ascii="Arial" w:hAnsi="Arial" w:cs="Arial"/>
          <w:sz w:val="28"/>
          <w:szCs w:val="28"/>
          <w:shd w:val="clear" w:color="auto" w:fill="FFFFFF"/>
        </w:rPr>
        <w:t xml:space="preserve">rovincia de Coclé se convirtió en la primera del interior del país en instalar un </w:t>
      </w:r>
      <w:r w:rsidR="00985E0A">
        <w:rPr>
          <w:rFonts w:ascii="Hind" w:hAnsi="Hind"/>
          <w:color w:val="7A7A7A"/>
          <w:shd w:val="clear" w:color="auto" w:fill="FFFFFF"/>
        </w:rPr>
        <w:t> </w:t>
      </w:r>
      <w:r w:rsidR="00985E0A" w:rsidRPr="004A1E99">
        <w:rPr>
          <w:rFonts w:ascii="Arial" w:hAnsi="Arial" w:cs="Arial"/>
          <w:sz w:val="28"/>
          <w:szCs w:val="28"/>
          <w:shd w:val="clear" w:color="auto" w:fill="FFFFFF"/>
        </w:rPr>
        <w:t>Comité para la Erradicación y Protección de la Persona Adolescente Trabajadora (CETIPPAT)</w:t>
      </w:r>
      <w:r w:rsidR="001153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985E0A">
        <w:rPr>
          <w:rFonts w:ascii="Arial" w:hAnsi="Arial" w:cs="Arial"/>
          <w:sz w:val="28"/>
          <w:szCs w:val="28"/>
          <w:shd w:val="clear" w:color="auto" w:fill="FFFFFF"/>
        </w:rPr>
        <w:t>para cumplir con la hoja de ruta establecida.</w:t>
      </w:r>
    </w:p>
    <w:p w:rsidR="00985E0A" w:rsidRDefault="00985E0A" w:rsidP="00985E0A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6477BF" w:rsidRDefault="006477BF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El Departamento de Contrato</w:t>
      </w:r>
      <w:r w:rsidR="00330EA0">
        <w:rPr>
          <w:rFonts w:ascii="Arial" w:hAnsi="Arial" w:cs="Arial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continúo una vez se </w:t>
      </w:r>
      <w:r w:rsidR="00985E0A">
        <w:rPr>
          <w:rFonts w:ascii="Arial" w:hAnsi="Arial" w:cs="Arial"/>
          <w:sz w:val="28"/>
          <w:szCs w:val="28"/>
          <w:shd w:val="clear" w:color="auto" w:fill="FFFFFF"/>
        </w:rPr>
        <w:t>reiniciaran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las atenciones presenciales con el </w:t>
      </w:r>
      <w:r w:rsidR="00330EA0">
        <w:rPr>
          <w:rFonts w:ascii="Arial" w:hAnsi="Arial" w:cs="Arial"/>
          <w:sz w:val="28"/>
          <w:szCs w:val="28"/>
          <w:shd w:val="clear" w:color="auto" w:fill="FFFFFF"/>
        </w:rPr>
        <w:t>registro y sello de los contratos y las renuncias l</w:t>
      </w:r>
      <w:r>
        <w:rPr>
          <w:rFonts w:ascii="Arial" w:hAnsi="Arial" w:cs="Arial"/>
          <w:sz w:val="28"/>
          <w:szCs w:val="28"/>
          <w:shd w:val="clear" w:color="auto" w:fill="FFFFFF"/>
        </w:rPr>
        <w:t>aborales.</w:t>
      </w:r>
      <w:r w:rsidR="00A77958">
        <w:rPr>
          <w:rFonts w:ascii="Arial" w:hAnsi="Arial" w:cs="Arial"/>
          <w:sz w:val="28"/>
          <w:szCs w:val="28"/>
          <w:shd w:val="clear" w:color="auto" w:fill="FFFFFF"/>
        </w:rPr>
        <w:t xml:space="preserve"> Por su parte la Caja de Conciliación </w:t>
      </w:r>
      <w:r w:rsidR="00985E0A">
        <w:rPr>
          <w:rFonts w:ascii="Arial" w:hAnsi="Arial" w:cs="Arial"/>
          <w:sz w:val="28"/>
          <w:szCs w:val="28"/>
          <w:shd w:val="clear" w:color="auto" w:fill="FFFFFF"/>
        </w:rPr>
        <w:t>mantuvo su rol de custodio del dinero depositado en beneficio de los trabajadores producto de las terminaciones laborales.</w:t>
      </w:r>
    </w:p>
    <w:p w:rsidR="00B241DB" w:rsidRDefault="00B241DB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EC3879" w:rsidRDefault="00985E0A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La Junta de Conciliación N°8 retomó las audiencias </w:t>
      </w:r>
      <w:r w:rsidR="00F311CA">
        <w:rPr>
          <w:rFonts w:ascii="Arial" w:hAnsi="Arial" w:cs="Arial"/>
          <w:sz w:val="28"/>
          <w:szCs w:val="28"/>
          <w:shd w:val="clear" w:color="auto" w:fill="FFFFFF"/>
        </w:rPr>
        <w:t>evitando así la mora judicial en los procesos que se adelantan en esta instancia según</w:t>
      </w:r>
      <w:r w:rsidR="00B241DB">
        <w:rPr>
          <w:rFonts w:ascii="Arial" w:hAnsi="Arial" w:cs="Arial"/>
          <w:sz w:val="28"/>
          <w:szCs w:val="28"/>
          <w:shd w:val="clear" w:color="auto" w:fill="FFFFFF"/>
        </w:rPr>
        <w:t xml:space="preserve"> lo que dicta</w:t>
      </w:r>
      <w:r w:rsidR="00F311CA">
        <w:rPr>
          <w:rFonts w:ascii="Arial" w:hAnsi="Arial" w:cs="Arial"/>
          <w:sz w:val="28"/>
          <w:szCs w:val="28"/>
          <w:shd w:val="clear" w:color="auto" w:fill="FFFFFF"/>
        </w:rPr>
        <w:t xml:space="preserve"> el artículo 1 de la </w:t>
      </w:r>
      <w:r w:rsidR="00F311CA" w:rsidRPr="00B241DB">
        <w:rPr>
          <w:rFonts w:ascii="Arial" w:hAnsi="Arial" w:cs="Arial"/>
          <w:color w:val="202124"/>
          <w:sz w:val="28"/>
          <w:szCs w:val="28"/>
          <w:shd w:val="clear" w:color="auto" w:fill="FFFFFF"/>
        </w:rPr>
        <w:t>Ley N°7 de 25 de febrero de 1975</w:t>
      </w:r>
      <w:r w:rsidR="007D6102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EC3879" w:rsidRDefault="00EC3879" w:rsidP="000E5B24">
      <w:pPr>
        <w:pStyle w:val="Sinespaciad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5605E" w:rsidRDefault="000E5B24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</w:t>
      </w:r>
      <w:r w:rsidR="0075605E">
        <w:rPr>
          <w:rFonts w:ascii="Arial" w:hAnsi="Arial" w:cs="Arial"/>
          <w:sz w:val="28"/>
          <w:szCs w:val="28"/>
        </w:rPr>
        <w:t>voluntariado</w:t>
      </w:r>
      <w:r>
        <w:rPr>
          <w:rFonts w:ascii="Arial" w:hAnsi="Arial" w:cs="Arial"/>
          <w:sz w:val="28"/>
          <w:szCs w:val="28"/>
        </w:rPr>
        <w:t xml:space="preserve"> del M</w:t>
      </w:r>
      <w:r w:rsidR="0075605E">
        <w:rPr>
          <w:rFonts w:ascii="Arial" w:hAnsi="Arial" w:cs="Arial"/>
          <w:sz w:val="28"/>
          <w:szCs w:val="28"/>
        </w:rPr>
        <w:t>ITRADEL</w:t>
      </w:r>
      <w:r>
        <w:rPr>
          <w:rFonts w:ascii="Arial" w:hAnsi="Arial" w:cs="Arial"/>
          <w:sz w:val="28"/>
          <w:szCs w:val="28"/>
        </w:rPr>
        <w:t xml:space="preserve"> en Coclé apoyó activamente al Programa Panamá Solidario</w:t>
      </w:r>
      <w:r w:rsidR="007560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durante la entrega de Bonos </w:t>
      </w:r>
      <w:r w:rsidR="0075605E">
        <w:rPr>
          <w:rFonts w:ascii="Arial" w:hAnsi="Arial" w:cs="Arial"/>
          <w:sz w:val="28"/>
          <w:szCs w:val="28"/>
        </w:rPr>
        <w:t xml:space="preserve">Físicos </w:t>
      </w:r>
      <w:r>
        <w:rPr>
          <w:rFonts w:ascii="Arial" w:hAnsi="Arial" w:cs="Arial"/>
          <w:sz w:val="28"/>
          <w:szCs w:val="28"/>
        </w:rPr>
        <w:t>y Bolsas con Alimentos</w:t>
      </w:r>
      <w:r w:rsidR="0075605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en áreas urbanas y rurales de la provincia.</w:t>
      </w:r>
      <w:r w:rsidR="00330EA0">
        <w:rPr>
          <w:rFonts w:ascii="Arial" w:hAnsi="Arial" w:cs="Arial"/>
          <w:sz w:val="28"/>
          <w:szCs w:val="28"/>
        </w:rPr>
        <w:t xml:space="preserve"> </w:t>
      </w:r>
    </w:p>
    <w:p w:rsidR="001153F7" w:rsidRDefault="001153F7" w:rsidP="000E5B24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75605E" w:rsidRPr="00784974" w:rsidRDefault="0075605E" w:rsidP="000E5B24">
      <w:pPr>
        <w:pStyle w:val="Sinespaciado"/>
        <w:jc w:val="both"/>
        <w:rPr>
          <w:rFonts w:ascii="Arial" w:hAnsi="Arial" w:cs="Arial"/>
          <w:sz w:val="12"/>
          <w:szCs w:val="28"/>
        </w:rPr>
      </w:pPr>
    </w:p>
    <w:p w:rsidR="002C2762" w:rsidRPr="0075605E" w:rsidRDefault="003858DB" w:rsidP="002C2762">
      <w:pPr>
        <w:shd w:val="clear" w:color="auto" w:fill="FFFFFF"/>
        <w:spacing w:after="335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PA"/>
        </w:rPr>
        <w:t>D</w:t>
      </w:r>
      <w:r w:rsidR="002C2762" w:rsidRPr="0075605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PA"/>
        </w:rPr>
        <w:t>atos de la Dirección Regional de Coclé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9"/>
        <w:gridCol w:w="4339"/>
      </w:tblGrid>
      <w:tr w:rsidR="002C2762" w:rsidRPr="0075605E" w:rsidTr="002C2762">
        <w:trPr>
          <w:trHeight w:val="1043"/>
        </w:trPr>
        <w:tc>
          <w:tcPr>
            <w:tcW w:w="4339" w:type="dxa"/>
          </w:tcPr>
          <w:p w:rsidR="002C2762" w:rsidRPr="0075605E" w:rsidRDefault="0075605E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Ubicación</w:t>
            </w:r>
            <w:r w:rsidR="002C2762" w:rsidRPr="0075605E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4339" w:type="dxa"/>
          </w:tcPr>
          <w:p w:rsidR="002C2762" w:rsidRPr="0075605E" w:rsidRDefault="002C2762" w:rsidP="00C51F9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Segundo piso del edificio de la Importadora</w:t>
            </w:r>
            <w:r w:rsidRPr="0075605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5605E">
              <w:rPr>
                <w:rFonts w:ascii="Arial" w:hAnsi="Arial" w:cs="Arial"/>
                <w:sz w:val="28"/>
                <w:szCs w:val="28"/>
              </w:rPr>
              <w:t>Americana</w:t>
            </w:r>
            <w:r w:rsidRPr="0075605E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75605E">
              <w:rPr>
                <w:rFonts w:ascii="Arial" w:hAnsi="Arial" w:cs="Arial"/>
                <w:sz w:val="28"/>
                <w:szCs w:val="28"/>
              </w:rPr>
              <w:t xml:space="preserve"> corregimiento de Aguadulce</w:t>
            </w:r>
            <w:r w:rsidR="00F604CC" w:rsidRPr="0075605E">
              <w:rPr>
                <w:rFonts w:ascii="Arial" w:hAnsi="Arial" w:cs="Arial"/>
                <w:sz w:val="28"/>
                <w:szCs w:val="28"/>
              </w:rPr>
              <w:t xml:space="preserve"> cabecera, D</w:t>
            </w:r>
            <w:r w:rsidRPr="0075605E">
              <w:rPr>
                <w:rFonts w:ascii="Arial" w:hAnsi="Arial" w:cs="Arial"/>
                <w:sz w:val="28"/>
                <w:szCs w:val="28"/>
              </w:rPr>
              <w:t xml:space="preserve">istrito de Aguadulce, </w:t>
            </w:r>
            <w:r w:rsidR="00F604CC" w:rsidRPr="0075605E">
              <w:rPr>
                <w:rFonts w:ascii="Arial" w:hAnsi="Arial" w:cs="Arial"/>
                <w:sz w:val="28"/>
                <w:szCs w:val="28"/>
              </w:rPr>
              <w:t>P</w:t>
            </w:r>
            <w:r w:rsidRPr="0075605E">
              <w:rPr>
                <w:rFonts w:ascii="Arial" w:hAnsi="Arial" w:cs="Arial"/>
                <w:sz w:val="28"/>
                <w:szCs w:val="28"/>
              </w:rPr>
              <w:t>rovincia de Coclé.</w:t>
            </w:r>
          </w:p>
        </w:tc>
      </w:tr>
      <w:tr w:rsidR="002C2762" w:rsidRPr="0075605E" w:rsidTr="002C2762">
        <w:trPr>
          <w:trHeight w:val="1043"/>
        </w:trPr>
        <w:tc>
          <w:tcPr>
            <w:tcW w:w="4339" w:type="dxa"/>
          </w:tcPr>
          <w:p w:rsidR="002C2762" w:rsidRPr="0075605E" w:rsidRDefault="002C2762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 xml:space="preserve">Teléfonos: </w:t>
            </w:r>
          </w:p>
        </w:tc>
        <w:tc>
          <w:tcPr>
            <w:tcW w:w="4339" w:type="dxa"/>
          </w:tcPr>
          <w:p w:rsidR="002C2762" w:rsidRPr="0075605E" w:rsidRDefault="002C2762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986-3402</w:t>
            </w:r>
          </w:p>
          <w:p w:rsidR="002C2762" w:rsidRPr="0075605E" w:rsidRDefault="002C2762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986-3448</w:t>
            </w:r>
          </w:p>
        </w:tc>
      </w:tr>
      <w:tr w:rsidR="002C2762" w:rsidRPr="0075605E" w:rsidTr="002C2762">
        <w:trPr>
          <w:trHeight w:val="1043"/>
        </w:trPr>
        <w:tc>
          <w:tcPr>
            <w:tcW w:w="4339" w:type="dxa"/>
          </w:tcPr>
          <w:p w:rsidR="002C2762" w:rsidRPr="0075605E" w:rsidRDefault="002C2762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Directora Regional:</w:t>
            </w:r>
          </w:p>
        </w:tc>
        <w:tc>
          <w:tcPr>
            <w:tcW w:w="4339" w:type="dxa"/>
          </w:tcPr>
          <w:p w:rsidR="002C2762" w:rsidRPr="0075605E" w:rsidRDefault="002C2762" w:rsidP="002C27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5605E">
              <w:rPr>
                <w:rFonts w:ascii="Arial" w:hAnsi="Arial" w:cs="Arial"/>
                <w:sz w:val="28"/>
                <w:szCs w:val="28"/>
              </w:rPr>
              <w:t>Licenciada Eva Vergara de Córdoba</w:t>
            </w:r>
          </w:p>
        </w:tc>
      </w:tr>
    </w:tbl>
    <w:p w:rsidR="002C2762" w:rsidRPr="002C2762" w:rsidRDefault="002C2762" w:rsidP="002C2762">
      <w:pPr>
        <w:shd w:val="clear" w:color="auto" w:fill="FFFFFF"/>
        <w:spacing w:after="335"/>
        <w:jc w:val="center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es-PA"/>
        </w:rPr>
      </w:pPr>
    </w:p>
    <w:p w:rsidR="0007652B" w:rsidRPr="002C2762" w:rsidRDefault="0007652B" w:rsidP="0007652B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7652B" w:rsidRPr="0007652B" w:rsidRDefault="0007652B" w:rsidP="0007652B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7652B">
        <w:rPr>
          <w:rFonts w:ascii="Arial" w:hAnsi="Arial" w:cs="Arial"/>
          <w:color w:val="201F1E"/>
          <w:sz w:val="24"/>
          <w:szCs w:val="24"/>
        </w:rPr>
        <w:br/>
      </w:r>
    </w:p>
    <w:p w:rsidR="0007652B" w:rsidRDefault="0007652B" w:rsidP="0007652B">
      <w:pPr>
        <w:jc w:val="both"/>
        <w:rPr>
          <w:rFonts w:ascii="Arial" w:hAnsi="Arial" w:cs="Arial"/>
          <w:sz w:val="24"/>
        </w:rPr>
      </w:pPr>
    </w:p>
    <w:p w:rsidR="0007652B" w:rsidRPr="0007652B" w:rsidRDefault="0007652B" w:rsidP="0007652B">
      <w:pPr>
        <w:jc w:val="both"/>
        <w:rPr>
          <w:rFonts w:ascii="Arial" w:hAnsi="Arial" w:cs="Arial"/>
          <w:b/>
          <w:sz w:val="24"/>
        </w:rPr>
      </w:pPr>
    </w:p>
    <w:sectPr w:rsidR="0007652B" w:rsidRPr="000765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EB8"/>
    <w:multiLevelType w:val="hybridMultilevel"/>
    <w:tmpl w:val="6DDCE8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46255"/>
    <w:multiLevelType w:val="hybridMultilevel"/>
    <w:tmpl w:val="393ABD6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EB"/>
    <w:rsid w:val="0007652B"/>
    <w:rsid w:val="000E5B24"/>
    <w:rsid w:val="001153F7"/>
    <w:rsid w:val="00146B4C"/>
    <w:rsid w:val="001B5ABF"/>
    <w:rsid w:val="00245AC5"/>
    <w:rsid w:val="002C2762"/>
    <w:rsid w:val="003178FB"/>
    <w:rsid w:val="00330EA0"/>
    <w:rsid w:val="003858DB"/>
    <w:rsid w:val="003A0C46"/>
    <w:rsid w:val="00433660"/>
    <w:rsid w:val="00491C1E"/>
    <w:rsid w:val="004A1E99"/>
    <w:rsid w:val="004C4FF3"/>
    <w:rsid w:val="006269C7"/>
    <w:rsid w:val="006477BF"/>
    <w:rsid w:val="00655D9F"/>
    <w:rsid w:val="00664F00"/>
    <w:rsid w:val="00666FBC"/>
    <w:rsid w:val="0068181C"/>
    <w:rsid w:val="0075605E"/>
    <w:rsid w:val="00764445"/>
    <w:rsid w:val="00784974"/>
    <w:rsid w:val="007D6102"/>
    <w:rsid w:val="008662EB"/>
    <w:rsid w:val="00985E0A"/>
    <w:rsid w:val="00A77958"/>
    <w:rsid w:val="00B241DB"/>
    <w:rsid w:val="00B937A1"/>
    <w:rsid w:val="00C33B91"/>
    <w:rsid w:val="00C90B99"/>
    <w:rsid w:val="00DC0E67"/>
    <w:rsid w:val="00E618A1"/>
    <w:rsid w:val="00EC3879"/>
    <w:rsid w:val="00EF03DC"/>
    <w:rsid w:val="00EF4C03"/>
    <w:rsid w:val="00F27CC3"/>
    <w:rsid w:val="00F311CA"/>
    <w:rsid w:val="00F604CC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F7444F-4C10-41DF-81EE-C3C8B79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2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8F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C2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81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HG. Agrazal</dc:creator>
  <cp:keywords/>
  <dc:description/>
  <cp:lastModifiedBy>Katife Kose</cp:lastModifiedBy>
  <cp:revision>2</cp:revision>
  <cp:lastPrinted>2020-11-26T19:40:00Z</cp:lastPrinted>
  <dcterms:created xsi:type="dcterms:W3CDTF">2021-11-02T17:43:00Z</dcterms:created>
  <dcterms:modified xsi:type="dcterms:W3CDTF">2021-11-02T17:43:00Z</dcterms:modified>
</cp:coreProperties>
</file>